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</w:p>
    <w:p>
      <w:pPr>
        <w:spacing w:line="60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食品安全事故登记/报告表</w:t>
      </w:r>
    </w:p>
    <w:tbl>
      <w:tblPr>
        <w:tblStyle w:val="2"/>
        <w:tblW w:w="9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771"/>
        <w:gridCol w:w="1703"/>
        <w:gridCol w:w="354"/>
        <w:gridCol w:w="1973"/>
        <w:gridCol w:w="175"/>
        <w:gridCol w:w="2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0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事发时间</w:t>
            </w:r>
          </w:p>
        </w:tc>
        <w:tc>
          <w:tcPr>
            <w:tcW w:w="63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0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事发地点</w:t>
            </w:r>
          </w:p>
        </w:tc>
        <w:tc>
          <w:tcPr>
            <w:tcW w:w="63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0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事发单位</w:t>
            </w:r>
          </w:p>
        </w:tc>
        <w:tc>
          <w:tcPr>
            <w:tcW w:w="63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99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涉及人数（人）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就诊、排查人数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（人）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72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住院人数（人）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病重、死亡人数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（人）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0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救治单位</w:t>
            </w:r>
          </w:p>
        </w:tc>
        <w:tc>
          <w:tcPr>
            <w:tcW w:w="63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0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事故经过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简要描述</w:t>
            </w:r>
          </w:p>
        </w:tc>
        <w:tc>
          <w:tcPr>
            <w:tcW w:w="63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0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初步调查结果</w:t>
            </w:r>
          </w:p>
        </w:tc>
        <w:tc>
          <w:tcPr>
            <w:tcW w:w="63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0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目前采取措施</w:t>
            </w:r>
          </w:p>
        </w:tc>
        <w:tc>
          <w:tcPr>
            <w:tcW w:w="63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0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事故发展态势预测</w:t>
            </w:r>
          </w:p>
        </w:tc>
        <w:tc>
          <w:tcPr>
            <w:tcW w:w="63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0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报告单位</w:t>
            </w: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报告时间</w:t>
            </w: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0" w:hRule="atLeast"/>
          <w:jc w:val="center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报告人</w:t>
            </w: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联系电话</w:t>
            </w: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</w:t>
      </w:r>
    </w:p>
    <w:p>
      <w:pPr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rPr>
          <w:rFonts w:hint="eastAsia" w:ascii="仿宋_GB2312" w:eastAsia="仿宋_GB2312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A86A20"/>
    <w:rsid w:val="58A8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2020-10-15T06:40:00Z</dcterms:created>
  <dc:creator>jd</dc:creator>
  <cp:lastModifiedBy>jd</cp:lastModifiedBy>
  <dcterms:modified xsi:type="dcterms:W3CDTF">2020-10-15T06:41:24Z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